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9E30" w14:textId="77777777" w:rsidR="002229C9" w:rsidRDefault="002229C9" w:rsidP="002229C9">
      <w:pPr>
        <w:pStyle w:val="a3"/>
        <w:shd w:val="clear" w:color="auto" w:fill="FFFFFF"/>
        <w:spacing w:before="0" w:beforeAutospacing="0" w:after="0" w:afterAutospacing="0"/>
        <w:jc w:val="center"/>
        <w:rPr>
          <w:color w:val="333333"/>
          <w:sz w:val="36"/>
          <w:szCs w:val="36"/>
        </w:rPr>
      </w:pPr>
      <w:r>
        <w:rPr>
          <w:rStyle w:val="a4"/>
          <w:rFonts w:hint="eastAsia"/>
          <w:color w:val="333333"/>
          <w:sz w:val="36"/>
          <w:szCs w:val="36"/>
          <w:bdr w:val="none" w:sz="0" w:space="0" w:color="auto" w:frame="1"/>
        </w:rPr>
        <w:t>中共中央办公厅</w:t>
      </w:r>
      <w:r>
        <w:rPr>
          <w:rStyle w:val="a4"/>
          <w:rFonts w:hint="eastAsia"/>
          <w:color w:val="333333"/>
          <w:sz w:val="36"/>
          <w:szCs w:val="36"/>
          <w:bdr w:val="none" w:sz="0" w:space="0" w:color="auto" w:frame="1"/>
        </w:rPr>
        <w:t> </w:t>
      </w:r>
      <w:r>
        <w:rPr>
          <w:rStyle w:val="a4"/>
          <w:rFonts w:hint="eastAsia"/>
          <w:color w:val="333333"/>
          <w:sz w:val="36"/>
          <w:szCs w:val="36"/>
          <w:bdr w:val="none" w:sz="0" w:space="0" w:color="auto" w:frame="1"/>
        </w:rPr>
        <w:t>国务院办公厅</w:t>
      </w:r>
    </w:p>
    <w:p w14:paraId="63098295" w14:textId="77777777" w:rsidR="002229C9" w:rsidRDefault="002229C9" w:rsidP="002229C9">
      <w:pPr>
        <w:pStyle w:val="a3"/>
        <w:shd w:val="clear" w:color="auto" w:fill="FFFFFF"/>
        <w:spacing w:before="0" w:beforeAutospacing="0" w:after="0" w:afterAutospacing="0"/>
        <w:jc w:val="center"/>
        <w:rPr>
          <w:rFonts w:hint="eastAsia"/>
          <w:color w:val="333333"/>
          <w:sz w:val="36"/>
          <w:szCs w:val="36"/>
        </w:rPr>
      </w:pPr>
      <w:r>
        <w:rPr>
          <w:rStyle w:val="a4"/>
          <w:rFonts w:hint="eastAsia"/>
          <w:color w:val="333333"/>
          <w:sz w:val="36"/>
          <w:szCs w:val="36"/>
          <w:bdr w:val="none" w:sz="0" w:space="0" w:color="auto" w:frame="1"/>
        </w:rPr>
        <w:t>关于进一步加强矿山安全生产工作的意见</w:t>
      </w:r>
    </w:p>
    <w:p w14:paraId="7EE38496"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7962755C" w14:textId="77777777" w:rsidR="002229C9" w:rsidRDefault="002229C9" w:rsidP="002229C9">
      <w:pPr>
        <w:pStyle w:val="a3"/>
        <w:shd w:val="clear" w:color="auto" w:fill="FFFFFF"/>
        <w:spacing w:before="30" w:beforeAutospacing="0" w:after="30" w:afterAutospacing="0"/>
        <w:ind w:firstLine="480"/>
        <w:rPr>
          <w:rFonts w:hint="eastAsia"/>
          <w:color w:val="333333"/>
        </w:rPr>
      </w:pPr>
      <w:r>
        <w:rPr>
          <w:rFonts w:hint="eastAsia"/>
          <w:color w:val="333333"/>
        </w:rPr>
        <w:t>矿山安全生产事关人民群众生命财产安全，事关经济发展和社会稳定大局，是安全生产的重中之重。为深入贯彻党的二十大精神，进一步加强矿山安全生产工作，经党中央、国务院同意，现提出如下意见。</w:t>
      </w:r>
    </w:p>
    <w:p w14:paraId="513D48D3"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371FB0FA" w14:textId="77777777" w:rsidR="002229C9" w:rsidRDefault="002229C9" w:rsidP="002229C9">
      <w:pPr>
        <w:pStyle w:val="a3"/>
        <w:shd w:val="clear" w:color="auto" w:fill="FFFFFF"/>
        <w:spacing w:before="30" w:beforeAutospacing="0" w:after="30" w:afterAutospacing="0"/>
        <w:jc w:val="center"/>
        <w:rPr>
          <w:rFonts w:hint="eastAsia"/>
          <w:color w:val="333333"/>
        </w:rPr>
      </w:pPr>
      <w:r>
        <w:rPr>
          <w:rFonts w:hint="eastAsia"/>
          <w:color w:val="333333"/>
        </w:rPr>
        <w:t>一、严格矿山安全生产准入</w:t>
      </w:r>
    </w:p>
    <w:p w14:paraId="55D536FE" w14:textId="77777777" w:rsidR="002229C9" w:rsidRDefault="002229C9" w:rsidP="002229C9">
      <w:pPr>
        <w:pStyle w:val="a3"/>
        <w:shd w:val="clear" w:color="auto" w:fill="FFFFFF"/>
        <w:spacing w:before="30" w:beforeAutospacing="0" w:after="30" w:afterAutospacing="0"/>
        <w:jc w:val="center"/>
        <w:rPr>
          <w:rFonts w:hint="eastAsia"/>
          <w:color w:val="333333"/>
        </w:rPr>
      </w:pPr>
    </w:p>
    <w:p w14:paraId="6FAB95BF"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（一）严格灾害严重煤矿安全准入。</w:t>
      </w:r>
      <w:r>
        <w:rPr>
          <w:rFonts w:hint="eastAsia"/>
          <w:color w:val="333333"/>
        </w:rPr>
        <w:t>停止新建产能低于90万吨/年的煤与瓦斯突出、冲击地压、水文地质类型极复杂的煤矿。新建煤与瓦斯突出、冲击地压、水文地质类型极复杂的煤矿原则上应按采煤、掘进智能化设计。</w:t>
      </w:r>
    </w:p>
    <w:p w14:paraId="249CBAAC"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（二）严格非煤矿山源头管控。</w:t>
      </w:r>
      <w:r>
        <w:rPr>
          <w:rFonts w:hint="eastAsia"/>
          <w:color w:val="333333"/>
        </w:rPr>
        <w:t>严格按照矿产资源规划、国土空间规划和用途管制要求，科学合理设置矿山。矿产资源勘查应达到规定程度，相邻矿山生产建设作业范围最小距离应满足相关安全规定，普通建筑用砂石露天矿山不得以山脊划界。除符合规定的情形外，新设采矿权范围不得与已设采矿权垂直投影范围重叠，可集中开发的同一矿体不得设立2个以上采矿权。采矿许可证</w:t>
      </w:r>
      <w:proofErr w:type="gramStart"/>
      <w:r>
        <w:rPr>
          <w:rFonts w:hint="eastAsia"/>
          <w:color w:val="333333"/>
        </w:rPr>
        <w:t>证载规模</w:t>
      </w:r>
      <w:proofErr w:type="gramEnd"/>
      <w:r>
        <w:rPr>
          <w:rFonts w:hint="eastAsia"/>
          <w:color w:val="333333"/>
        </w:rPr>
        <w:t>是拟建设规模，矿山设计单位可在项目可行性研究基础上，充分考虑资源高效利用、安全生产、生态环境保护等因素，在矿山初步设计和安全设施设计中科学论证并确定实际生产建设规模，矿山企业应当严格按照经审查批准的安全设施设计建设、生产。</w:t>
      </w:r>
    </w:p>
    <w:p w14:paraId="2BB21CBF"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（三）规范安全生产行政许可。</w:t>
      </w:r>
      <w:r>
        <w:rPr>
          <w:rFonts w:hint="eastAsia"/>
          <w:color w:val="333333"/>
        </w:rPr>
        <w:t>煤矿、金属非金属地下矿山、尾矿库等矿山的安全设施设计审查和安全生产许可证审批由省级以上矿山安全监管部门负责，不得下放或者委托。矿山安全监管部门应当制定矿山建设项目安全设施设计审查规范，严格实质内容审查，不得仅对程序和形式进行审查。矿山开发没有进行一次性总体设计的，原则上不得审批安全设施设计。1个采矿权范围内原则上只能设置1个生产系统。审批首次申请安全生产许可证的，应进行现场核查。</w:t>
      </w:r>
    </w:p>
    <w:p w14:paraId="6B059111"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4F9B3688" w14:textId="77777777" w:rsidR="002229C9" w:rsidRDefault="002229C9" w:rsidP="002229C9">
      <w:pPr>
        <w:pStyle w:val="a3"/>
        <w:shd w:val="clear" w:color="auto" w:fill="FFFFFF"/>
        <w:spacing w:before="30" w:beforeAutospacing="0" w:after="30" w:afterAutospacing="0"/>
        <w:jc w:val="center"/>
        <w:rPr>
          <w:rFonts w:hint="eastAsia"/>
          <w:color w:val="333333"/>
        </w:rPr>
      </w:pPr>
      <w:r>
        <w:rPr>
          <w:rFonts w:hint="eastAsia"/>
          <w:color w:val="333333"/>
        </w:rPr>
        <w:t>二、推进矿山转型升级</w:t>
      </w:r>
    </w:p>
    <w:p w14:paraId="1087D4E7"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45FF5F0F"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（四）分类处置不具备安全生产条件的矿山。</w:t>
      </w:r>
      <w:r>
        <w:rPr>
          <w:rFonts w:hint="eastAsia"/>
          <w:color w:val="333333"/>
        </w:rPr>
        <w:t>对未依法取得采矿许可证、安全生产许可证擅自从事矿产资源开采的，越界开采、以</w:t>
      </w:r>
      <w:proofErr w:type="gramStart"/>
      <w:r>
        <w:rPr>
          <w:rFonts w:hint="eastAsia"/>
          <w:color w:val="333333"/>
        </w:rPr>
        <w:t>采代</w:t>
      </w:r>
      <w:proofErr w:type="gramEnd"/>
      <w:r>
        <w:rPr>
          <w:rFonts w:hint="eastAsia"/>
          <w:color w:val="333333"/>
        </w:rPr>
        <w:t>建、持勘查许可证采矿且拒不整改的，与煤共（伴）生金属非金属矿山经停产整顿仍达不到煤矿安全生产条件的，使用应当淘汰的危及生产安全的工艺、设备且拒不整改仍然生产建设的，或者经停产整顿仍不具备安全生产条件的矿山，依法予以关闭取缔。对长期停工停产、资源枯竭的矿山，灾害严重且难以有效防治的煤矿，积极引导退出。</w:t>
      </w:r>
    </w:p>
    <w:p w14:paraId="70EEA4AD"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（五）推进尾矿</w:t>
      </w:r>
      <w:proofErr w:type="gramStart"/>
      <w:r>
        <w:rPr>
          <w:rFonts w:ascii="楷体" w:eastAsia="楷体" w:hAnsi="楷体" w:hint="eastAsia"/>
          <w:color w:val="333333"/>
          <w:bdr w:val="none" w:sz="0" w:space="0" w:color="auto" w:frame="1"/>
        </w:rPr>
        <w:t>库闭库销号</w:t>
      </w:r>
      <w:proofErr w:type="gramEnd"/>
      <w:r>
        <w:rPr>
          <w:rFonts w:ascii="楷体" w:eastAsia="楷体" w:hAnsi="楷体" w:hint="eastAsia"/>
          <w:color w:val="333333"/>
          <w:bdr w:val="none" w:sz="0" w:space="0" w:color="auto" w:frame="1"/>
        </w:rPr>
        <w:t>。</w:t>
      </w:r>
      <w:r>
        <w:rPr>
          <w:rFonts w:hint="eastAsia"/>
          <w:color w:val="333333"/>
        </w:rPr>
        <w:t>对运行到设计最终标高、不再排尾作业、停用超过3年或者没有生产经营主体的尾矿库，应当及时</w:t>
      </w:r>
      <w:proofErr w:type="gramStart"/>
      <w:r>
        <w:rPr>
          <w:rFonts w:hint="eastAsia"/>
          <w:color w:val="333333"/>
        </w:rPr>
        <w:t>闭库治理</w:t>
      </w:r>
      <w:proofErr w:type="gramEnd"/>
      <w:r>
        <w:rPr>
          <w:rFonts w:hint="eastAsia"/>
          <w:color w:val="333333"/>
        </w:rPr>
        <w:t>并销号。完成</w:t>
      </w:r>
      <w:proofErr w:type="gramStart"/>
      <w:r>
        <w:rPr>
          <w:rFonts w:hint="eastAsia"/>
          <w:color w:val="333333"/>
        </w:rPr>
        <w:lastRenderedPageBreak/>
        <w:t>闭库治理</w:t>
      </w:r>
      <w:proofErr w:type="gramEnd"/>
      <w:r>
        <w:rPr>
          <w:rFonts w:hint="eastAsia"/>
          <w:color w:val="333333"/>
        </w:rPr>
        <w:t>的尾矿库，应由县级以上地方政府公告销号，不再作为尾矿库进行使用，不得重新用于排放尾矿。</w:t>
      </w:r>
    </w:p>
    <w:p w14:paraId="0E308613"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（六）实施非煤矿山整合重组。</w:t>
      </w:r>
      <w:r>
        <w:rPr>
          <w:rFonts w:hint="eastAsia"/>
          <w:color w:val="333333"/>
        </w:rPr>
        <w:t>鼓励大型矿山企业兼并重组和整合技改中小型非煤矿山企业。推动同一个矿体分属2个以上不同开采主体的非煤矿山，生产建设作业范围最小距离不满足相关安全规定的非煤矿山，以山脊划界的普通建筑用砂石露天矿山等企业整合重组，统一开采规划、生产系统和安全管理。</w:t>
      </w:r>
    </w:p>
    <w:p w14:paraId="769438E0"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（七）加快矿山升级改造。</w:t>
      </w:r>
      <w:r>
        <w:rPr>
          <w:rFonts w:hint="eastAsia"/>
          <w:color w:val="333333"/>
        </w:rPr>
        <w:t>推动中小型矿山机械化升级改造和大型矿山自动化、智能化升级改造，加快灾害严重、高海拔等矿山智能化建设，打造一批自动化、智能化标杆矿山。地下矿山应当建立人员定位、安全监测监控、通信联络、压风自救和供水施救等系统。新建、改扩建金属非金属地下矿山原则上采用充填采矿法，不能采用的应严格论证。中小型金属非金属地下矿山不得有4个以上生产水平同时采矿。尾矿</w:t>
      </w:r>
      <w:proofErr w:type="gramStart"/>
      <w:r>
        <w:rPr>
          <w:rFonts w:hint="eastAsia"/>
          <w:color w:val="333333"/>
        </w:rPr>
        <w:t>库应当</w:t>
      </w:r>
      <w:proofErr w:type="gramEnd"/>
      <w:r>
        <w:rPr>
          <w:rFonts w:hint="eastAsia"/>
          <w:color w:val="333333"/>
        </w:rPr>
        <w:t>建立在线安全监测系统，新建四等、五等小型尾矿</w:t>
      </w:r>
      <w:proofErr w:type="gramStart"/>
      <w:r>
        <w:rPr>
          <w:rFonts w:hint="eastAsia"/>
          <w:color w:val="333333"/>
        </w:rPr>
        <w:t>库应当</w:t>
      </w:r>
      <w:proofErr w:type="gramEnd"/>
      <w:r>
        <w:rPr>
          <w:rFonts w:hint="eastAsia"/>
          <w:color w:val="333333"/>
        </w:rPr>
        <w:t>采用一次性建坝。</w:t>
      </w:r>
    </w:p>
    <w:p w14:paraId="2F56EF7F"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（八）提高科技创新支撑能力。</w:t>
      </w:r>
      <w:r>
        <w:rPr>
          <w:rFonts w:hint="eastAsia"/>
          <w:color w:val="333333"/>
        </w:rPr>
        <w:t>强化矿山安全科技支撑体系建设。加强矿山重大灾害预防与治理研究，组织重大关键技术攻关。推进矿山信息化、智能化装备和机器人研发及应用。实施一批矿山安全类重大科技项目。研究推进建设矿山安全领域全国重点实验室。</w:t>
      </w:r>
    </w:p>
    <w:p w14:paraId="352EBA5F"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5CB0A32E" w14:textId="77777777" w:rsidR="002229C9" w:rsidRDefault="002229C9" w:rsidP="002229C9">
      <w:pPr>
        <w:pStyle w:val="a3"/>
        <w:shd w:val="clear" w:color="auto" w:fill="FFFFFF"/>
        <w:spacing w:before="30" w:beforeAutospacing="0" w:after="30" w:afterAutospacing="0"/>
        <w:jc w:val="center"/>
        <w:rPr>
          <w:rFonts w:hint="eastAsia"/>
          <w:color w:val="333333"/>
        </w:rPr>
      </w:pPr>
      <w:r>
        <w:rPr>
          <w:rFonts w:hint="eastAsia"/>
          <w:color w:val="333333"/>
        </w:rPr>
        <w:t>三、防范化解重大安全风险</w:t>
      </w:r>
    </w:p>
    <w:p w14:paraId="7F70FF49"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2CFEA315"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（九）健全矿山安全管理体系。</w:t>
      </w:r>
      <w:r>
        <w:rPr>
          <w:rFonts w:hint="eastAsia"/>
          <w:color w:val="333333"/>
        </w:rPr>
        <w:t>矿山企业应当健全以安全风险分级管控和隐患排查治理双重预防机制为核心的安全生产标准化管理体系。严格开展风险辨识评估并实施分级管控，定期开展全员全覆盖隐患排查治理，建立风险</w:t>
      </w:r>
      <w:proofErr w:type="gramStart"/>
      <w:r>
        <w:rPr>
          <w:rFonts w:hint="eastAsia"/>
          <w:color w:val="333333"/>
        </w:rPr>
        <w:t>隐患台</w:t>
      </w:r>
      <w:proofErr w:type="gramEnd"/>
      <w:r>
        <w:rPr>
          <w:rFonts w:hint="eastAsia"/>
          <w:color w:val="333333"/>
        </w:rPr>
        <w:t>账清单，实行闭环管理。各级矿山安全监管监察部门应当推动企业切实提高风险隐患排查和整改质量，建立重大隐患治理督办制度，在重大隐患消除前跟踪监管，并监督整改销号。对排查整改不到位导致重大隐患依然存在或发生事故的，依法追究企业及相关责任人责任。</w:t>
      </w:r>
    </w:p>
    <w:p w14:paraId="3FC3375E"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（十）强化重大灾害治理。</w:t>
      </w:r>
      <w:r>
        <w:rPr>
          <w:rFonts w:hint="eastAsia"/>
          <w:color w:val="333333"/>
        </w:rPr>
        <w:t>矿山企业应当查明隐蔽致灾因素，实施煤与瓦斯突出、冲击地压、水害等重大灾害分区管理、超前治理。将煤矿灾害等级鉴定纳入安全检测检验范围，及时公示鉴定结果。规范煤矿生产能力管理和核定工作。金属非金属露天矿山采场及排土场边坡高度大于100米的，应当逐年进行边坡稳定性分析。金属非金属地下矿山采空区体积超过规定的，应当及时进行稳定性专项评估。尾矿库排洪构筑物每3年应进行一次质量检测。</w:t>
      </w:r>
    </w:p>
    <w:p w14:paraId="3F2FE9B7"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（十一）严格设备设施安全管理。</w:t>
      </w:r>
      <w:r>
        <w:rPr>
          <w:rFonts w:hint="eastAsia"/>
          <w:color w:val="333333"/>
        </w:rPr>
        <w:t>完善矿山井下特种设备安全标志审核发放和监督机制。定期对取得矿山井下特种设备安全标志的在用设备设施开展安全可靠性检验。建立矿用安全设备全生命周期智慧监管平台，实行矿用设备安全责任追究制度。</w:t>
      </w:r>
    </w:p>
    <w:p w14:paraId="2C25DFC8"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（十二）规范非煤矿山外包工程管理。</w:t>
      </w:r>
      <w:r>
        <w:rPr>
          <w:rFonts w:hint="eastAsia"/>
          <w:color w:val="333333"/>
        </w:rPr>
        <w:t>非煤矿山企业统一负责外包工程施工单位的安全管理。金属非金属地下矿山严禁将爆破作业专项外包。金属非金属地下基建矿山掘进工程承包单位数量不得超过3家。大中型金属非金属地下生产矿山采掘工程承包单位数量不得超过2家，小型金属非金属地下生产矿山采掘工程承包单位数量不得超过1家，承包单位严禁转包和分包采掘工程及爆破作业项目。承包单位应当向项目部派出项目负责人、技术人员和特种作业人</w:t>
      </w:r>
      <w:r>
        <w:rPr>
          <w:rFonts w:hint="eastAsia"/>
          <w:color w:val="333333"/>
        </w:rPr>
        <w:lastRenderedPageBreak/>
        <w:t>员；项目负责人、技术人员应当具有矿山相关专业中专以上学历或者中级以上专业技术职称，且不得在其他矿山兼职。力争到2025年年底，生产矿山建立本单位采掘（剥）施工队伍或者委托具备相应条件的企业整体管理。</w:t>
      </w:r>
    </w:p>
    <w:p w14:paraId="4406CE61"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（十三）加强停工停产矿山安全管控。</w:t>
      </w:r>
      <w:r>
        <w:rPr>
          <w:rFonts w:hint="eastAsia"/>
          <w:color w:val="333333"/>
        </w:rPr>
        <w:t>停工停产整改的矿山应当制定整改方案，限定单班下井人数，同一作业地点控制在10人以内，并向矿山安全监管监察部门报告后方可进行整改作业。地方政府及有关部门应当对停工停产整改煤矿实施驻矿盯守，对其他停工停产矿山落实驻矿盯守或者巡查责任，并按规定进行复工复产验收，因监督检查不力，停工停产期间继续组织建设生产的，依法严肃追究企业及相关责任人责任。</w:t>
      </w:r>
    </w:p>
    <w:p w14:paraId="54282718"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（十四）提升风险监测预警处置能力。</w:t>
      </w:r>
      <w:r>
        <w:rPr>
          <w:rFonts w:hint="eastAsia"/>
          <w:color w:val="333333"/>
        </w:rPr>
        <w:t>加强矿山多灾种和灾害</w:t>
      </w:r>
      <w:proofErr w:type="gramStart"/>
      <w:r>
        <w:rPr>
          <w:rFonts w:hint="eastAsia"/>
          <w:color w:val="333333"/>
        </w:rPr>
        <w:t>链综合</w:t>
      </w:r>
      <w:proofErr w:type="gramEnd"/>
      <w:r>
        <w:rPr>
          <w:rFonts w:hint="eastAsia"/>
          <w:color w:val="333333"/>
        </w:rPr>
        <w:t>监测、风险早期识别和预警预报能力建设。矿山集中地区应当建立区域性矿山救援队伍。地下矿山、尾矿库“头顶库”应当建立应急广播等通信系统，确保应急指令能第一时间传达</w:t>
      </w:r>
      <w:proofErr w:type="gramStart"/>
      <w:r>
        <w:rPr>
          <w:rFonts w:hint="eastAsia"/>
          <w:color w:val="333333"/>
        </w:rPr>
        <w:t>至影响</w:t>
      </w:r>
      <w:proofErr w:type="gramEnd"/>
      <w:r>
        <w:rPr>
          <w:rFonts w:hint="eastAsia"/>
          <w:color w:val="333333"/>
        </w:rPr>
        <w:t>范围内所有人员。加强应急预案演练、评估和修订。每年汛期前地方政府应当组织尾矿库“头顶库”企业与下游居民开展联合演练。强化灾害性天气预警预报，遇极端天气严禁人员入井。</w:t>
      </w:r>
    </w:p>
    <w:p w14:paraId="2370A4FA"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3375DBD2" w14:textId="77777777" w:rsidR="002229C9" w:rsidRDefault="002229C9" w:rsidP="002229C9">
      <w:pPr>
        <w:pStyle w:val="a3"/>
        <w:shd w:val="clear" w:color="auto" w:fill="FFFFFF"/>
        <w:spacing w:before="30" w:beforeAutospacing="0" w:after="30" w:afterAutospacing="0"/>
        <w:jc w:val="center"/>
        <w:rPr>
          <w:rFonts w:hint="eastAsia"/>
          <w:color w:val="333333"/>
        </w:rPr>
      </w:pPr>
      <w:r>
        <w:rPr>
          <w:rFonts w:hint="eastAsia"/>
          <w:color w:val="333333"/>
        </w:rPr>
        <w:t>四、强化企业主体责任</w:t>
      </w:r>
    </w:p>
    <w:p w14:paraId="4B7EC854"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59D80B77"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（十五）落实主要负责人责任。</w:t>
      </w:r>
      <w:r>
        <w:rPr>
          <w:rFonts w:hint="eastAsia"/>
          <w:color w:val="333333"/>
        </w:rPr>
        <w:t>矿山及其上级企业主要负责人（含法定代表人、实际控制人、实际负责人）依法履行安全生产第一责任人责任，加大安全投入和安全培训力度，及时研究解决矿山安全生产重大问题。矿山企业总部应当加强下属企业监督检查，主要负责人应当定期到生产现场督促检查安全生产工作，严禁下达超能力生产计划或者经营指标。推广矿长安全生产考核记分制度。</w:t>
      </w:r>
    </w:p>
    <w:p w14:paraId="503CC2F9"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（十六）健全安全管理机构。</w:t>
      </w:r>
      <w:proofErr w:type="gramStart"/>
      <w:r>
        <w:rPr>
          <w:rFonts w:hint="eastAsia"/>
          <w:color w:val="333333"/>
        </w:rPr>
        <w:t>涉矿中央企业总部</w:t>
      </w:r>
      <w:proofErr w:type="gramEnd"/>
      <w:r>
        <w:rPr>
          <w:rFonts w:hint="eastAsia"/>
          <w:color w:val="333333"/>
        </w:rPr>
        <w:t>和</w:t>
      </w:r>
      <w:proofErr w:type="gramStart"/>
      <w:r>
        <w:rPr>
          <w:rFonts w:hint="eastAsia"/>
          <w:color w:val="333333"/>
        </w:rPr>
        <w:t>涉矿</w:t>
      </w:r>
      <w:proofErr w:type="gramEnd"/>
      <w:r>
        <w:rPr>
          <w:rFonts w:hint="eastAsia"/>
          <w:color w:val="333333"/>
        </w:rPr>
        <w:t>大中型企业应当配备安全总监。地下矿山应当配备矿长、总工程师和分管安全、生产、机电等工作的副矿长，所配备人员应当具有矿山相关专业大专以上学历或者中级以上专业技术职称，且不得在其他矿山兼职。煤矿、金属非金属矿山、尾矿</w:t>
      </w:r>
      <w:proofErr w:type="gramStart"/>
      <w:r>
        <w:rPr>
          <w:rFonts w:hint="eastAsia"/>
          <w:color w:val="333333"/>
        </w:rPr>
        <w:t>库应当</w:t>
      </w:r>
      <w:proofErr w:type="gramEnd"/>
      <w:r>
        <w:rPr>
          <w:rFonts w:hint="eastAsia"/>
          <w:color w:val="333333"/>
        </w:rPr>
        <w:t>配备相关专业中专以上学历或者中级以上专业技术职称的专职技术人员。灾害严重矿山应当按要求配备灾害治理专职领导人员、专门机构、专业人员。</w:t>
      </w:r>
    </w:p>
    <w:p w14:paraId="4610B621"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（十七）强化安全基础管理。</w:t>
      </w:r>
      <w:r>
        <w:rPr>
          <w:rFonts w:hint="eastAsia"/>
          <w:color w:val="333333"/>
        </w:rPr>
        <w:t>矿山企业应当建立健全并落实全员安全生产岗位责任制和安全生产管理制度。按照要求绘制、更新相关图纸，并报送矿山安全监管监察部门。未经安全培训合格的从业人员不得上岗作业，矿长、总工程师和分管安全、生产、机电等工作的副矿长每年应当接受专门的安全教育培训。首次取证的地下矿山特种作业人员应当具有高中以上文化程度。严格井下劳动定员管理，不得超定员安排人员下井作业，提高井下艰苦岗位津贴。取消井下劳务派遣用工，矿山企业或承包单位对欠薪应依法承担清偿责任。</w:t>
      </w:r>
    </w:p>
    <w:p w14:paraId="0A27EA81"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385C1A86" w14:textId="77777777" w:rsidR="002229C9" w:rsidRDefault="002229C9" w:rsidP="002229C9">
      <w:pPr>
        <w:pStyle w:val="a3"/>
        <w:shd w:val="clear" w:color="auto" w:fill="FFFFFF"/>
        <w:spacing w:before="0" w:beforeAutospacing="0" w:after="0" w:afterAutospacing="0"/>
        <w:jc w:val="center"/>
        <w:rPr>
          <w:rFonts w:hint="eastAsia"/>
          <w:color w:val="333333"/>
        </w:rPr>
      </w:pPr>
      <w:r>
        <w:rPr>
          <w:rFonts w:hint="eastAsia"/>
          <w:color w:val="333333"/>
        </w:rPr>
        <w:t>五、落实地方党政领导责任和</w:t>
      </w:r>
      <w:r>
        <w:rPr>
          <w:rFonts w:hint="eastAsia"/>
          <w:color w:val="333333"/>
          <w:bdr w:val="none" w:sz="0" w:space="0" w:color="auto" w:frame="1"/>
        </w:rPr>
        <w:t>部门监管监察责任</w:t>
      </w:r>
    </w:p>
    <w:p w14:paraId="40726158"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hint="eastAsia"/>
          <w:color w:val="333333"/>
          <w:bdr w:val="none" w:sz="0" w:space="0" w:color="auto" w:frame="1"/>
        </w:rPr>
        <w:br/>
      </w:r>
    </w:p>
    <w:p w14:paraId="7F0D3E90"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（十八）落实地方党政领导责任。</w:t>
      </w:r>
      <w:r>
        <w:rPr>
          <w:rFonts w:hint="eastAsia"/>
          <w:color w:val="333333"/>
        </w:rPr>
        <w:t>坚持党政同责、一岗双责、齐抓共管、失职追责，严格落实矿山安全领导责任，组织开展区域性矿山隐蔽致灾因素普查治理，严厉打击非法盗采矿产资源行为。加强矿山安全监管机构和队伍建</w:t>
      </w:r>
      <w:r>
        <w:rPr>
          <w:rFonts w:hint="eastAsia"/>
          <w:color w:val="333333"/>
        </w:rPr>
        <w:lastRenderedPageBreak/>
        <w:t>设，专业监管人员配备比例不低于在职人员的75%。矿山安全重点市、县党政主要领导要定期研究矿山安全生产工作，深入矿山井下督促检查。实行市级、县级地方政府领导包保煤矿、金属非金属地下矿山和尾矿库安全生产责任制。</w:t>
      </w:r>
    </w:p>
    <w:p w14:paraId="3A261319"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（十九）落实矿山安全监管责任。</w:t>
      </w:r>
      <w:r>
        <w:rPr>
          <w:rFonts w:hint="eastAsia"/>
          <w:color w:val="333333"/>
        </w:rPr>
        <w:t>各地区应当坚持明责知责、履责尽责，按照分级分类原则，明确省市县三级矿山安全监管执法管辖权限，明确矿山和尾矿库日常安全监管主体，建立部门联合执法和问题线索移交机制，大力提高执法专业素养，切实提升发现问题和解决问题的强烈意愿和能力水平。中央企业所属矿山安全监管应由市地级以上部门负责。尾矿库“头顶库”、</w:t>
      </w:r>
      <w:proofErr w:type="gramStart"/>
      <w:r>
        <w:rPr>
          <w:rFonts w:hint="eastAsia"/>
          <w:color w:val="333333"/>
        </w:rPr>
        <w:t>采深超</w:t>
      </w:r>
      <w:proofErr w:type="gramEnd"/>
      <w:r>
        <w:rPr>
          <w:rFonts w:hint="eastAsia"/>
          <w:color w:val="333333"/>
        </w:rPr>
        <w:t>800米或者单班下井人数超30人的金属非金属地下矿山、边坡高度超200米的金属非金属露天矿山等高风险矿山安全监管，原则上不得下放至县级部门。按照“谁主管、谁负责”原则，矿山安全监管监察部门负责矿山安全监察和矿山安全生产监督管理工作。按照“管行业必须管安全、管业务必须管安全、管生产经营必须管安全”要求，其他各有关部门要在行业管理、业务管理、生产经营管理中一体推进落实矿山安全生产各项要求。各级安全生产委员会办公室要加强对矿山安全生产工作的协调指导。</w:t>
      </w:r>
    </w:p>
    <w:p w14:paraId="61B7786D"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（二十）强化矿山安全国家监察。</w:t>
      </w:r>
      <w:r>
        <w:rPr>
          <w:rFonts w:hint="eastAsia"/>
          <w:color w:val="333333"/>
        </w:rPr>
        <w:t>健全国家矿山安全监察体制，国家矿山安全监察部门负责监督检查地方矿山安全监管工作，向地方政府提出改善和加强矿山安全监管工作的意见和建议。统筹矿山安全监管监察执法保障体系建设，推动落实监管监察能力建设规划，完善技术支撑体系，健全国家矿山安全智能化监管监察系统。</w:t>
      </w:r>
    </w:p>
    <w:p w14:paraId="5693DF56"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01EBDC1C" w14:textId="77777777" w:rsidR="002229C9" w:rsidRDefault="002229C9" w:rsidP="002229C9">
      <w:pPr>
        <w:pStyle w:val="a3"/>
        <w:shd w:val="clear" w:color="auto" w:fill="FFFFFF"/>
        <w:spacing w:before="30" w:beforeAutospacing="0" w:after="30" w:afterAutospacing="0"/>
        <w:jc w:val="center"/>
        <w:rPr>
          <w:rFonts w:hint="eastAsia"/>
          <w:color w:val="333333"/>
        </w:rPr>
      </w:pPr>
      <w:r>
        <w:rPr>
          <w:rFonts w:hint="eastAsia"/>
          <w:color w:val="333333"/>
        </w:rPr>
        <w:t>六、推进矿山安全依法治理</w:t>
      </w:r>
    </w:p>
    <w:p w14:paraId="5067C6EF" w14:textId="77777777" w:rsidR="002229C9" w:rsidRDefault="002229C9" w:rsidP="002229C9">
      <w:pPr>
        <w:pStyle w:val="a3"/>
        <w:shd w:val="clear" w:color="auto" w:fill="FFFFFF"/>
        <w:spacing w:before="0" w:beforeAutospacing="0" w:after="0" w:afterAutospacing="0"/>
        <w:ind w:firstLine="480"/>
        <w:rPr>
          <w:rFonts w:hint="eastAsia"/>
          <w:color w:val="333333"/>
        </w:rPr>
      </w:pPr>
    </w:p>
    <w:p w14:paraId="38479179"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（二十一）加强执法保障建设。</w:t>
      </w:r>
      <w:r>
        <w:rPr>
          <w:rFonts w:hint="eastAsia"/>
          <w:color w:val="333333"/>
        </w:rPr>
        <w:t>推动修订矿山安全法，制定煤矿安全生产条例，加强矿山安全标准化建设工作。完善矿山安全监管监察专业人才培养机制，提高待遇保障。加强在线监控联网和矿山安全综合信息化平台建设，强化执法装备保障。</w:t>
      </w:r>
    </w:p>
    <w:p w14:paraId="2CA4A6D9"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（二十二）强化安全监督检查。</w:t>
      </w:r>
      <w:r>
        <w:rPr>
          <w:rFonts w:hint="eastAsia"/>
          <w:color w:val="333333"/>
        </w:rPr>
        <w:t>矿山行业管理和安全监管监察部门应严格检查执法，严禁以罚代管、罚而不管。推动建立健全矿山安全生产案件移送、行政执法和刑事司法衔接机制，发现涉嫌犯罪的按规定及时移交司法机关。加强矿山领域安全评价、设计、检测、检验、认证、咨询、培训、监理等第三</w:t>
      </w:r>
      <w:proofErr w:type="gramStart"/>
      <w:r>
        <w:rPr>
          <w:rFonts w:hint="eastAsia"/>
          <w:color w:val="333333"/>
        </w:rPr>
        <w:t>方服务</w:t>
      </w:r>
      <w:proofErr w:type="gramEnd"/>
      <w:r>
        <w:rPr>
          <w:rFonts w:hint="eastAsia"/>
          <w:color w:val="333333"/>
        </w:rPr>
        <w:t>机构监督管理。建立矿山安全评价检测检验报告公开制度。建立健全重大违法违规信息公示制度、联合惩戒制度和举报奖励制度。建立责任倒查机制，严格执行“谁检查、谁签名、谁负责”，对发现重大隐患不处理处罚或跟踪整改不到位的，依法严肃追责问责。</w:t>
      </w:r>
    </w:p>
    <w:p w14:paraId="43A1AF25"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（二十三）严格事故调查处理。</w:t>
      </w:r>
      <w:r>
        <w:rPr>
          <w:rFonts w:hint="eastAsia"/>
          <w:color w:val="333333"/>
        </w:rPr>
        <w:t>对较大涉险事故、瞒报谎报重大及以下矿山生产安全事故，视情况提级调查。接到瞒报谎报事故举报，属地县级以上地方政府应当组织核查。发生较大以上死亡事故的矿山，应当停产整顿，经验收符合安全生产条件后方可恢复生产。</w:t>
      </w:r>
    </w:p>
    <w:p w14:paraId="2CC8EFE4"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33A7C250" w14:textId="77777777" w:rsidR="002229C9" w:rsidRDefault="002229C9" w:rsidP="002229C9">
      <w:pPr>
        <w:pStyle w:val="a3"/>
        <w:shd w:val="clear" w:color="auto" w:fill="FFFFFF"/>
        <w:spacing w:before="30" w:beforeAutospacing="0" w:after="30" w:afterAutospacing="0"/>
        <w:jc w:val="center"/>
        <w:rPr>
          <w:rFonts w:hint="eastAsia"/>
          <w:color w:val="333333"/>
        </w:rPr>
      </w:pPr>
      <w:r>
        <w:rPr>
          <w:rFonts w:hint="eastAsia"/>
          <w:color w:val="333333"/>
        </w:rPr>
        <w:t>七、强化组织实施</w:t>
      </w:r>
    </w:p>
    <w:p w14:paraId="45D651A7" w14:textId="77777777" w:rsidR="002229C9" w:rsidRDefault="002229C9" w:rsidP="002229C9">
      <w:pPr>
        <w:pStyle w:val="a3"/>
        <w:shd w:val="clear" w:color="auto" w:fill="FFFFFF"/>
        <w:spacing w:before="30" w:beforeAutospacing="0" w:after="30" w:afterAutospacing="0"/>
        <w:ind w:firstLine="480"/>
        <w:rPr>
          <w:rFonts w:hint="eastAsia"/>
          <w:color w:val="333333"/>
        </w:rPr>
      </w:pPr>
    </w:p>
    <w:p w14:paraId="4A073E4C" w14:textId="77777777" w:rsidR="002229C9" w:rsidRDefault="002229C9" w:rsidP="002229C9">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（二十四）健全保障措施。</w:t>
      </w:r>
      <w:r>
        <w:rPr>
          <w:rFonts w:hint="eastAsia"/>
          <w:color w:val="333333"/>
        </w:rPr>
        <w:t>各地区各有关部门要加强组织领导，明确任务分工，细化工作措施，研究配套政策。要统筹资金渠道，加强矿山淘汰退出、</w:t>
      </w:r>
      <w:r>
        <w:rPr>
          <w:rFonts w:hint="eastAsia"/>
          <w:color w:val="333333"/>
        </w:rPr>
        <w:lastRenderedPageBreak/>
        <w:t>尾矿库治理、信息化系统、智能化矿山建设和安全监督检查等经费保障。应急管理部牵头建立矿山安全协调推进机制，将本意见落实情况纳入省级政府安全生产和消防工作考核巡查内容。纪检监察机关、组织人事部门和安全生产监管监察部门按照权限和职责，对安全生产责任履行不到位的，要依规依纪依法严肃追责问责，确保矿山安全生产工作各项部署要求落实到位。</w:t>
      </w:r>
    </w:p>
    <w:p w14:paraId="12EDC028" w14:textId="77777777" w:rsidR="002229C9" w:rsidRDefault="002229C9" w:rsidP="002229C9">
      <w:pPr>
        <w:pStyle w:val="a3"/>
        <w:shd w:val="clear" w:color="auto" w:fill="FFFFFF"/>
        <w:spacing w:before="0" w:beforeAutospacing="0" w:after="0" w:afterAutospacing="0"/>
        <w:jc w:val="right"/>
        <w:rPr>
          <w:rFonts w:hint="eastAsia"/>
          <w:color w:val="333333"/>
        </w:rPr>
      </w:pPr>
      <w:r>
        <w:rPr>
          <w:rFonts w:ascii="楷体" w:eastAsia="楷体" w:hAnsi="楷体" w:hint="eastAsia"/>
          <w:color w:val="333333"/>
          <w:bdr w:val="none" w:sz="0" w:space="0" w:color="auto" w:frame="1"/>
        </w:rPr>
        <w:t>（新华社北京2023年9月6日电）</w:t>
      </w:r>
      <w:r>
        <w:rPr>
          <w:rFonts w:hint="eastAsia"/>
          <w:color w:val="333333"/>
        </w:rPr>
        <w:t xml:space="preserve">　</w:t>
      </w:r>
    </w:p>
    <w:p w14:paraId="0F50C532" w14:textId="77777777" w:rsidR="00000000" w:rsidRPr="002229C9" w:rsidRDefault="00000000"/>
    <w:sectPr w:rsidR="00A00B5E" w:rsidRPr="00222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9C"/>
    <w:rsid w:val="00043D23"/>
    <w:rsid w:val="002229C9"/>
    <w:rsid w:val="00734BFD"/>
    <w:rsid w:val="00A658A6"/>
    <w:rsid w:val="00A9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7A631-8FC1-4D17-A115-08D9141F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9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29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1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3</cp:revision>
  <dcterms:created xsi:type="dcterms:W3CDTF">2023-11-03T02:03:00Z</dcterms:created>
  <dcterms:modified xsi:type="dcterms:W3CDTF">2023-11-03T02:03:00Z</dcterms:modified>
</cp:coreProperties>
</file>